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KURUMSAL KART KULLANIMINA İLİŞKİN YÖNERGE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BİRİNCİ BÖLÜM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Amaç, Kapsam ve Dayanak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Amaç ve Kapsam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1- </w:t>
      </w:r>
      <w:r>
        <w:rPr>
          <w:rFonts w:ascii="Helvetica" w:hAnsi="Helvetica" w:cs="Helvetica"/>
          <w:color w:val="333333"/>
          <w:sz w:val="21"/>
          <w:szCs w:val="21"/>
        </w:rPr>
        <w:t xml:space="preserve">Bu yönerge, kamu kurum ve kuruluşları ile ülkemizdeki yerleşik yabancı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misyonlar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(Diplomatik Temsilcilikler,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Konsüler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Temsilcilikler ve Uluslararası Kuruluş Temsilcilikleri [Fahri Temsilcilikler hariç]), üniversiteler, belediyeler, belediye iktisadi teşekkülleri, kamu yararına çalışan vakıf ve dernekler, meslek oda ve borsalar, yasa ile kurulmuş meslek birlikleri tarafından Müze 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Örenyerlerine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Girişlerde Uygulanacak Usul ve Esaslar Hakkında Yönerge kapsamında ücretsiz ziyaret hakkı tanınmayan ziyaretçilerine ilişkin Kültür ve Turizm Bakanlığına bağlı müze 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örenyerlerinin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%20 oranında indirimli ziyaretine olanak sağlayan Kurumsal Kart’a ilişkin usul ve esasları düzenlemektedir.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Dayanak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 Yönerge 01/04/2019 tarih ve 126 sayılı Yönetim Kurulu Kararı ile belirlenmiştir.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İKİNCİ BÖLÜM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Kurumsal Kart ve Kurumsal Karta Esas Giriş Ücretleri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2- </w:t>
      </w:r>
      <w:r>
        <w:rPr>
          <w:rFonts w:ascii="Helvetica" w:hAnsi="Helvetica" w:cs="Helvetica"/>
          <w:color w:val="333333"/>
          <w:sz w:val="21"/>
          <w:szCs w:val="21"/>
        </w:rPr>
        <w:t>Kurumsal Kartlar 500 TL, 1.000 TL, 2.000 TL, 3.000 TL, 5.000 TL ve 10.000 TL’lik seçeneklerle satışa sunulacaktır.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3- </w:t>
      </w:r>
      <w:r>
        <w:rPr>
          <w:rFonts w:ascii="Helvetica" w:hAnsi="Helvetica" w:cs="Helvetica"/>
          <w:color w:val="333333"/>
          <w:sz w:val="21"/>
          <w:szCs w:val="21"/>
        </w:rPr>
        <w:t xml:space="preserve">Kurumsal Kart, Bakanlığımıza bağlı olan ve elektronik turnike sistemi ile el terminali bulunan müze 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örenyerlerinde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bilet ücreti üzerinden % 20 indirim sağlayacaktır.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4- </w:t>
      </w:r>
      <w:r>
        <w:rPr>
          <w:rFonts w:ascii="Helvetica" w:hAnsi="Helvetica" w:cs="Helvetica"/>
          <w:color w:val="333333"/>
          <w:sz w:val="21"/>
          <w:szCs w:val="21"/>
        </w:rPr>
        <w:t>Kurumsal Kart, her ziyaretçi için turnikede ayrı ayrı okutulacak ve geçiş yapıldıkça bilet bedelleri indirimli olarak karttan düşecektir.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5- </w:t>
      </w:r>
      <w:r>
        <w:rPr>
          <w:rFonts w:ascii="Helvetica" w:hAnsi="Helvetica" w:cs="Helvetica"/>
          <w:color w:val="333333"/>
          <w:sz w:val="21"/>
          <w:szCs w:val="21"/>
        </w:rPr>
        <w:t>Karttaki bakiyenin giriş ücretinden az olması ve bilet bedelini karşılamaması halinde, söz konusu bakiye ile turnikeden tek geçiş yapılabilecektir.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ÜÇÜNCÜ BÖLÜM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Kurumsal Kart Kullanım Esasları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6-</w:t>
      </w:r>
      <w:r>
        <w:rPr>
          <w:rFonts w:ascii="Helvetica" w:hAnsi="Helvetica" w:cs="Helvetica"/>
          <w:color w:val="333333"/>
          <w:sz w:val="21"/>
          <w:szCs w:val="21"/>
        </w:rPr>
        <w:t> Kurumsal Kartların Usulsüz kullanımına karşı gereken önlemin alınması kart talebinde bulunan kurumların sorumluluğundadır.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7-</w:t>
      </w:r>
      <w:r>
        <w:rPr>
          <w:rFonts w:ascii="Helvetica" w:hAnsi="Helvetica" w:cs="Helvetica"/>
          <w:color w:val="333333"/>
          <w:sz w:val="21"/>
          <w:szCs w:val="21"/>
        </w:rPr>
        <w:t xml:space="preserve"> Kurumsal Kart başvuruları; T.C. Kültür ve Turizm Bakanlığı Döner Sermaye İşletmesi Merkez Müdürlüğüne yazılı olarak yapılacak olup, yazı ekinde DÖSİMM web sitesindeki (http://www.dosim.gov.tr) “Mevzuat” bölümünde bulunan talep formu, ödemeye ilişkin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dekont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ve bazı kurumların ödeme işlemlerinde mevzuat hükümleri çerçevesinde damga vergisi kesintisi yapma zorunlulukları olması halinde yapılan kesintiye ait belgede yer alacaktır.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8-</w:t>
      </w:r>
      <w:r>
        <w:rPr>
          <w:rFonts w:ascii="Helvetica" w:hAnsi="Helvetica" w:cs="Helvetica"/>
          <w:color w:val="333333"/>
          <w:sz w:val="21"/>
          <w:szCs w:val="21"/>
        </w:rPr>
        <w:t xml:space="preserve"> Kurumsal Kart bedeline %8 KDV dâhil olup, ödenecek tutardan hiçbir şekilde KDV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Tevkifatı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yapılmayacaktır.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9-</w:t>
      </w:r>
      <w:r>
        <w:rPr>
          <w:rFonts w:ascii="Helvetica" w:hAnsi="Helvetica" w:cs="Helvetica"/>
          <w:color w:val="333333"/>
          <w:sz w:val="21"/>
          <w:szCs w:val="21"/>
        </w:rPr>
        <w:t xml:space="preserve"> Kurumsal Kart talebi için DÖSÎMM Gişe İşletmeleri Grup Başkanlığı ile Tel: 0312 470 87 85 veya e-posta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adresi:gim@ktb.gov.tr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irtibata geçilmesi gerekmektedir.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lastRenderedPageBreak/>
        <w:t>Madde 10-</w:t>
      </w:r>
      <w:r>
        <w:rPr>
          <w:rFonts w:ascii="Helvetica" w:hAnsi="Helvetica" w:cs="Helvetica"/>
          <w:color w:val="333333"/>
          <w:sz w:val="21"/>
          <w:szCs w:val="21"/>
        </w:rPr>
        <w:t xml:space="preserve"> Kurumsal Kart'a dair fatura için http://earsiv.muze.gov.tr e-Fatura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portalına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giriş yapılarak; ürün tipi “Kart” ve ürün adı “Kurumsal Kart” seçilerek, seri numarası “Kurumsal Kart Üzerinde Bulunan Numara” ile giriş yapılarak e-Fatura dokümanına ulaşılabilmektedir.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11-</w:t>
      </w:r>
      <w:r>
        <w:rPr>
          <w:rFonts w:ascii="Helvetica" w:hAnsi="Helvetica" w:cs="Helvetica"/>
          <w:color w:val="333333"/>
          <w:sz w:val="21"/>
          <w:szCs w:val="21"/>
        </w:rPr>
        <w:t> Kurumlar, farklı ziyaretçi grupları için birden fazla kart alabileceklerdir.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12- </w:t>
      </w:r>
      <w:r>
        <w:rPr>
          <w:rFonts w:ascii="Helvetica" w:hAnsi="Helvetica" w:cs="Helvetica"/>
          <w:color w:val="333333"/>
          <w:sz w:val="21"/>
          <w:szCs w:val="21"/>
        </w:rPr>
        <w:t xml:space="preserve">Kurumsal Kart yeniden yüklenebilir nitelik taşımamakta olup, yüklü olan TL.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tutarı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tükendiğinde kart tekrar kullanılamayacaktır.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13-</w:t>
      </w:r>
      <w:r>
        <w:rPr>
          <w:rFonts w:ascii="Helvetica" w:hAnsi="Helvetica" w:cs="Helvetica"/>
          <w:color w:val="333333"/>
          <w:sz w:val="21"/>
          <w:szCs w:val="21"/>
        </w:rPr>
        <w:t> Kartın/kartların kalan kredi miktarı kullanım sırasında turnike içi ekranlardan; tüm kullanımlara ilişkin ayrıntıları ise müze/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örenyeri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ziyaretinden 48 saat sonra kurum adına verilecek şifre aracılığı ile https://www.muze.gov.tr/kurumsalkart adresinden izlenebilecek ve çıktı alınabilecektir.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DÖRDÜNCÜ BÖLÜM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Diğer Hususlar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14- </w:t>
      </w:r>
      <w:r>
        <w:rPr>
          <w:rFonts w:ascii="Helvetica" w:hAnsi="Helvetica" w:cs="Helvetica"/>
          <w:color w:val="333333"/>
          <w:sz w:val="21"/>
          <w:szCs w:val="21"/>
        </w:rPr>
        <w:t xml:space="preserve">Müze 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örenyeri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girişlerinde, kullanılan Kurumsal Kartlar gezi süresince saklanır ve kontrollerde gösterilir.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15- </w:t>
      </w:r>
      <w:r>
        <w:rPr>
          <w:rFonts w:ascii="Helvetica" w:hAnsi="Helvetica" w:cs="Helvetica"/>
          <w:color w:val="333333"/>
          <w:sz w:val="21"/>
          <w:szCs w:val="21"/>
        </w:rPr>
        <w:t>Toplu ziyaretler, düzenleyen kurumlarca ilgili Müze Müdürlüklerine önceden bildirilir. Öğrenci gruplarının ziyaretleri ilgili Müze Müdürlüklerinden alınacak randevu çerçevesinde gerçekleştirilir.</w:t>
      </w:r>
    </w:p>
    <w:p w:rsidR="002D74B8" w:rsidRDefault="002D74B8" w:rsidP="002D74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Madde 16- </w:t>
      </w:r>
      <w:r>
        <w:rPr>
          <w:rFonts w:ascii="Helvetica" w:hAnsi="Helvetica" w:cs="Helvetica"/>
          <w:color w:val="333333"/>
          <w:sz w:val="21"/>
          <w:szCs w:val="21"/>
        </w:rPr>
        <w:t>Bu yönergede yer almayan hususlar ile yer alan hususlara ilişkin istisnai uygulamalar Döner Sermaye İşletmesi Yönetim Kurulu Kararı ile belirlenir.</w:t>
      </w:r>
    </w:p>
    <w:p w:rsidR="001754BC" w:rsidRDefault="002D74B8">
      <w:bookmarkStart w:id="0" w:name="_GoBack"/>
      <w:bookmarkEnd w:id="0"/>
    </w:p>
    <w:sectPr w:rsidR="0017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6C"/>
    <w:rsid w:val="002D74B8"/>
    <w:rsid w:val="00432B29"/>
    <w:rsid w:val="009049AC"/>
    <w:rsid w:val="009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0E71-898C-4872-B2DE-4547B37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7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2022-05-20T13:18:00Z</dcterms:created>
  <dcterms:modified xsi:type="dcterms:W3CDTF">2022-05-20T13:18:00Z</dcterms:modified>
</cp:coreProperties>
</file>